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B7" w:rsidRDefault="00E84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E846B7">
        <w:tc>
          <w:tcPr>
            <w:tcW w:w="4785" w:type="dxa"/>
          </w:tcPr>
          <w:p w:rsidR="00E846B7" w:rsidRDefault="00952F38">
            <w:r>
              <w:rPr>
                <w:noProof/>
              </w:rPr>
              <w:drawing>
                <wp:inline distT="114300" distB="114300" distL="114300" distR="114300">
                  <wp:extent cx="1923040" cy="256703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040" cy="2567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846B7" w:rsidRDefault="00E846B7">
            <w:pP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:rsidR="00E846B7" w:rsidRDefault="00E846B7">
            <w:pP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:rsidR="00E846B7" w:rsidRDefault="00E846B7">
            <w:pP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:rsidR="00E846B7" w:rsidRDefault="00952F38">
            <w:pP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Такташов</w:t>
            </w:r>
            <w:proofErr w:type="spellEnd"/>
            <w:r>
              <w:rPr>
                <w:rFonts w:ascii="Arial" w:eastAsia="Arial" w:hAnsi="Arial" w:cs="Arial"/>
                <w:b/>
                <w:sz w:val="32"/>
                <w:szCs w:val="32"/>
              </w:rPr>
              <w:br/>
              <w:t>Рустам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br/>
              <w:t>Русланович</w:t>
            </w:r>
          </w:p>
          <w:p w:rsidR="00E846B7" w:rsidRDefault="00E846B7"/>
        </w:tc>
      </w:tr>
    </w:tbl>
    <w:p w:rsidR="00E846B7" w:rsidRDefault="00E846B7"/>
    <w:tbl>
      <w:tblPr>
        <w:tblStyle w:val="a6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832"/>
        <w:gridCol w:w="848"/>
        <w:gridCol w:w="843"/>
        <w:gridCol w:w="532"/>
        <w:gridCol w:w="302"/>
        <w:gridCol w:w="882"/>
        <w:gridCol w:w="685"/>
        <w:gridCol w:w="148"/>
        <w:gridCol w:w="948"/>
        <w:gridCol w:w="942"/>
      </w:tblGrid>
      <w:tr w:rsidR="00E846B7">
        <w:tc>
          <w:tcPr>
            <w:tcW w:w="9345" w:type="dxa"/>
            <w:gridSpan w:val="11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 16.01.2000</w:t>
            </w:r>
          </w:p>
        </w:tc>
      </w:tr>
      <w:tr w:rsidR="00E846B7">
        <w:tc>
          <w:tcPr>
            <w:tcW w:w="9345" w:type="dxa"/>
            <w:gridSpan w:val="11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 аспирантуру: 01.10.2024</w:t>
            </w:r>
          </w:p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991 от 23 сентября 2024 г.</w:t>
            </w:r>
          </w:p>
          <w:p w:rsidR="00E846B7" w:rsidRDefault="00E846B7">
            <w:pPr>
              <w:rPr>
                <w:sz w:val="28"/>
                <w:szCs w:val="28"/>
              </w:rPr>
            </w:pPr>
          </w:p>
        </w:tc>
      </w:tr>
      <w:tr w:rsidR="00E846B7">
        <w:trPr>
          <w:trHeight w:val="551"/>
        </w:trPr>
        <w:tc>
          <w:tcPr>
            <w:tcW w:w="9345" w:type="dxa"/>
            <w:gridSpan w:val="11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аспирантуры: 30.09.2028</w:t>
            </w:r>
          </w:p>
        </w:tc>
      </w:tr>
      <w:tr w:rsidR="00E846B7">
        <w:tc>
          <w:tcPr>
            <w:tcW w:w="2383" w:type="dxa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Лаборатория </w:t>
            </w:r>
          </w:p>
        </w:tc>
        <w:tc>
          <w:tcPr>
            <w:tcW w:w="6962" w:type="dxa"/>
            <w:gridSpan w:val="10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анализа больших данных для цифровой фармакологии</w:t>
            </w:r>
          </w:p>
        </w:tc>
      </w:tr>
      <w:tr w:rsidR="00E846B7">
        <w:tc>
          <w:tcPr>
            <w:tcW w:w="2383" w:type="dxa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6962" w:type="dxa"/>
            <w:gridSpan w:val="10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 Александр Викторович, к.б.н., </w:t>
            </w:r>
            <w:proofErr w:type="spellStart"/>
            <w:r>
              <w:rPr>
                <w:sz w:val="28"/>
                <w:szCs w:val="28"/>
              </w:rPr>
              <w:t>с.н.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846B7">
        <w:tc>
          <w:tcPr>
            <w:tcW w:w="2383" w:type="dxa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работы </w:t>
            </w:r>
          </w:p>
        </w:tc>
        <w:tc>
          <w:tcPr>
            <w:tcW w:w="6962" w:type="dxa"/>
            <w:gridSpan w:val="10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биологических эффектов совместного приёма лека</w:t>
            </w:r>
            <w:proofErr w:type="gramStart"/>
            <w:r>
              <w:rPr>
                <w:sz w:val="28"/>
                <w:szCs w:val="28"/>
              </w:rPr>
              <w:t>рств с пр</w:t>
            </w:r>
            <w:proofErr w:type="gramEnd"/>
            <w:r>
              <w:rPr>
                <w:sz w:val="28"/>
                <w:szCs w:val="28"/>
              </w:rPr>
              <w:t>именением ансамблевых моделей машинного обучения</w:t>
            </w:r>
          </w:p>
        </w:tc>
      </w:tr>
      <w:tr w:rsidR="00E846B7">
        <w:tc>
          <w:tcPr>
            <w:tcW w:w="2383" w:type="dxa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специальностей</w:t>
            </w:r>
          </w:p>
          <w:p w:rsidR="00E846B7" w:rsidRDefault="00952F38">
            <w:pPr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6962" w:type="dxa"/>
            <w:gridSpan w:val="10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науки 1.5.</w:t>
            </w:r>
          </w:p>
          <w:p w:rsidR="00E846B7" w:rsidRDefault="00E846B7">
            <w:pPr>
              <w:rPr>
                <w:sz w:val="28"/>
                <w:szCs w:val="28"/>
              </w:rPr>
            </w:pPr>
          </w:p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атематическая биология, </w:t>
            </w:r>
            <w:proofErr w:type="spellStart"/>
            <w:r>
              <w:rPr>
                <w:sz w:val="28"/>
                <w:szCs w:val="28"/>
              </w:rPr>
              <w:t>биоинформатика</w:t>
            </w:r>
            <w:proofErr w:type="spellEnd"/>
            <w:r>
              <w:rPr>
                <w:sz w:val="28"/>
                <w:szCs w:val="28"/>
              </w:rPr>
              <w:t xml:space="preserve"> 1.5.8.</w:t>
            </w:r>
          </w:p>
        </w:tc>
      </w:tr>
      <w:tr w:rsidR="00E846B7">
        <w:trPr>
          <w:trHeight w:val="255"/>
        </w:trPr>
        <w:tc>
          <w:tcPr>
            <w:tcW w:w="2383" w:type="dxa"/>
            <w:vMerge w:val="restart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Экзамены кандидатские минимумы </w:t>
            </w:r>
          </w:p>
        </w:tc>
        <w:tc>
          <w:tcPr>
            <w:tcW w:w="3055" w:type="dxa"/>
            <w:gridSpan w:val="4"/>
            <w:vAlign w:val="center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69" w:type="dxa"/>
            <w:gridSpan w:val="3"/>
            <w:vAlign w:val="center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2038" w:type="dxa"/>
            <w:gridSpan w:val="3"/>
            <w:vAlign w:val="center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Кандидатский экзамен по специальности</w:t>
            </w:r>
          </w:p>
        </w:tc>
      </w:tr>
      <w:tr w:rsidR="00E846B7">
        <w:trPr>
          <w:trHeight w:val="255"/>
        </w:trPr>
        <w:tc>
          <w:tcPr>
            <w:tcW w:w="2383" w:type="dxa"/>
            <w:vMerge/>
          </w:tcPr>
          <w:p w:rsidR="00E846B7" w:rsidRDefault="00E84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4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3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</w:tr>
      <w:tr w:rsidR="00E846B7">
        <w:trPr>
          <w:trHeight w:val="170"/>
        </w:trPr>
        <w:tc>
          <w:tcPr>
            <w:tcW w:w="2383" w:type="dxa"/>
            <w:vMerge w:val="restart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</w:t>
            </w:r>
          </w:p>
        </w:tc>
        <w:tc>
          <w:tcPr>
            <w:tcW w:w="1680" w:type="dxa"/>
            <w:gridSpan w:val="2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курс</w:t>
            </w:r>
          </w:p>
        </w:tc>
        <w:tc>
          <w:tcPr>
            <w:tcW w:w="1677" w:type="dxa"/>
            <w:gridSpan w:val="3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курс</w:t>
            </w:r>
          </w:p>
        </w:tc>
        <w:tc>
          <w:tcPr>
            <w:tcW w:w="1715" w:type="dxa"/>
            <w:gridSpan w:val="3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1890" w:type="dxa"/>
            <w:gridSpan w:val="2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</w:tr>
      <w:tr w:rsidR="00E846B7">
        <w:trPr>
          <w:trHeight w:val="170"/>
        </w:trPr>
        <w:tc>
          <w:tcPr>
            <w:tcW w:w="2383" w:type="dxa"/>
            <w:vMerge/>
          </w:tcPr>
          <w:p w:rsidR="00E846B7" w:rsidRDefault="00E84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сем</w:t>
            </w:r>
          </w:p>
        </w:tc>
        <w:tc>
          <w:tcPr>
            <w:tcW w:w="848" w:type="dxa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</w:t>
            </w:r>
          </w:p>
        </w:tc>
        <w:tc>
          <w:tcPr>
            <w:tcW w:w="843" w:type="dxa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сем</w:t>
            </w:r>
          </w:p>
        </w:tc>
        <w:tc>
          <w:tcPr>
            <w:tcW w:w="834" w:type="dxa"/>
            <w:gridSpan w:val="2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</w:t>
            </w:r>
          </w:p>
        </w:tc>
        <w:tc>
          <w:tcPr>
            <w:tcW w:w="882" w:type="dxa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сем</w:t>
            </w:r>
          </w:p>
        </w:tc>
        <w:tc>
          <w:tcPr>
            <w:tcW w:w="833" w:type="dxa"/>
            <w:gridSpan w:val="2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сем</w:t>
            </w:r>
          </w:p>
        </w:tc>
        <w:tc>
          <w:tcPr>
            <w:tcW w:w="948" w:type="dxa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сем</w:t>
            </w:r>
          </w:p>
        </w:tc>
        <w:tc>
          <w:tcPr>
            <w:tcW w:w="942" w:type="dxa"/>
            <w:vAlign w:val="center"/>
          </w:tcPr>
          <w:p w:rsidR="00E846B7" w:rsidRDefault="0095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сем</w:t>
            </w:r>
          </w:p>
        </w:tc>
      </w:tr>
      <w:tr w:rsidR="00E846B7">
        <w:trPr>
          <w:trHeight w:val="170"/>
        </w:trPr>
        <w:tc>
          <w:tcPr>
            <w:tcW w:w="2383" w:type="dxa"/>
            <w:vMerge/>
          </w:tcPr>
          <w:p w:rsidR="00E846B7" w:rsidRDefault="00E84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E846B7" w:rsidRDefault="00E846B7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848" w:type="dxa"/>
          </w:tcPr>
          <w:p w:rsidR="00E846B7" w:rsidRDefault="00E8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E846B7" w:rsidRDefault="00E84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E846B7" w:rsidRDefault="00E846B7">
            <w:pPr>
              <w:rPr>
                <w:sz w:val="28"/>
                <w:szCs w:val="28"/>
              </w:rPr>
            </w:pPr>
          </w:p>
        </w:tc>
      </w:tr>
      <w:tr w:rsidR="00E846B7">
        <w:trPr>
          <w:trHeight w:val="1265"/>
        </w:trPr>
        <w:tc>
          <w:tcPr>
            <w:tcW w:w="2383" w:type="dxa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работы</w:t>
            </w:r>
          </w:p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</w:p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Тезисы конференций</w:t>
            </w:r>
          </w:p>
        </w:tc>
        <w:tc>
          <w:tcPr>
            <w:tcW w:w="6962" w:type="dxa"/>
            <w:gridSpan w:val="10"/>
          </w:tcPr>
          <w:p w:rsidR="00E846B7" w:rsidRDefault="00952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Поройков</w:t>
            </w:r>
            <w:proofErr w:type="spellEnd"/>
            <w:r>
              <w:rPr>
                <w:sz w:val="28"/>
                <w:szCs w:val="28"/>
              </w:rPr>
              <w:t xml:space="preserve"> В.В., </w:t>
            </w:r>
            <w:proofErr w:type="spellStart"/>
            <w:r>
              <w:rPr>
                <w:sz w:val="28"/>
                <w:szCs w:val="28"/>
              </w:rPr>
              <w:t>Дружиловский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proofErr w:type="spellStart"/>
            <w:r>
              <w:rPr>
                <w:sz w:val="28"/>
                <w:szCs w:val="28"/>
              </w:rPr>
              <w:t>Бизюкова</w:t>
            </w:r>
            <w:proofErr w:type="spellEnd"/>
            <w:r>
              <w:rPr>
                <w:sz w:val="28"/>
                <w:szCs w:val="28"/>
              </w:rPr>
              <w:t xml:space="preserve"> Н.Ю., Веселовский А.В., Глориозова Т.А., </w:t>
            </w:r>
            <w:proofErr w:type="spellStart"/>
            <w:r>
              <w:rPr>
                <w:sz w:val="28"/>
                <w:szCs w:val="28"/>
              </w:rPr>
              <w:t>Гомазков</w:t>
            </w:r>
            <w:proofErr w:type="spellEnd"/>
            <w:r>
              <w:rPr>
                <w:sz w:val="28"/>
                <w:szCs w:val="28"/>
              </w:rPr>
              <w:t xml:space="preserve"> О.А., Дмитриев А.В., Иванов А.С., Иванов С.М., Ионов Н.С., Карасев Д.А., </w:t>
            </w:r>
            <w:proofErr w:type="spellStart"/>
            <w:r>
              <w:rPr>
                <w:sz w:val="28"/>
                <w:szCs w:val="28"/>
              </w:rPr>
              <w:t>Колодницкий</w:t>
            </w:r>
            <w:proofErr w:type="spellEnd"/>
            <w:r>
              <w:rPr>
                <w:sz w:val="28"/>
                <w:szCs w:val="28"/>
              </w:rPr>
              <w:t xml:space="preserve"> А.С., Лагунин А.А., Погодин П.В., </w:t>
            </w:r>
            <w:proofErr w:type="spellStart"/>
            <w:r>
              <w:rPr>
                <w:sz w:val="28"/>
                <w:szCs w:val="28"/>
              </w:rPr>
              <w:t>Рудик</w:t>
            </w:r>
            <w:proofErr w:type="spellEnd"/>
            <w:r>
              <w:rPr>
                <w:sz w:val="28"/>
                <w:szCs w:val="28"/>
              </w:rPr>
              <w:t xml:space="preserve"> А.В., </w:t>
            </w:r>
            <w:proofErr w:type="spellStart"/>
            <w:r>
              <w:rPr>
                <w:sz w:val="28"/>
                <w:szCs w:val="28"/>
              </w:rPr>
              <w:t>Савосина</w:t>
            </w:r>
            <w:proofErr w:type="spellEnd"/>
            <w:r>
              <w:rPr>
                <w:sz w:val="28"/>
                <w:szCs w:val="28"/>
              </w:rPr>
              <w:t xml:space="preserve"> П.И., Соболев Б.Н., Сто</w:t>
            </w:r>
            <w:r>
              <w:rPr>
                <w:sz w:val="28"/>
                <w:szCs w:val="28"/>
              </w:rPr>
              <w:t xml:space="preserve">лбов Л.А., Сухачев В.С., </w:t>
            </w:r>
            <w:proofErr w:type="spellStart"/>
            <w:r>
              <w:rPr>
                <w:sz w:val="28"/>
                <w:szCs w:val="28"/>
              </w:rPr>
              <w:t>Такташов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Таланова</w:t>
            </w:r>
            <w:proofErr w:type="spellEnd"/>
            <w:r>
              <w:rPr>
                <w:sz w:val="28"/>
                <w:szCs w:val="28"/>
              </w:rPr>
              <w:t xml:space="preserve"> А.В., Тарасова О.А., Филимонов Д.А., Подходы к </w:t>
            </w:r>
            <w:proofErr w:type="spellStart"/>
            <w:r>
              <w:rPr>
                <w:sz w:val="28"/>
                <w:szCs w:val="28"/>
              </w:rPr>
              <w:t>репозиционированию</w:t>
            </w:r>
            <w:proofErr w:type="spellEnd"/>
            <w:r>
              <w:rPr>
                <w:sz w:val="28"/>
                <w:szCs w:val="28"/>
              </w:rPr>
              <w:t xml:space="preserve"> лека</w:t>
            </w:r>
            <w:proofErr w:type="gramStart"/>
            <w:r>
              <w:rPr>
                <w:sz w:val="28"/>
                <w:szCs w:val="28"/>
              </w:rPr>
              <w:t>рств дл</w:t>
            </w:r>
            <w:proofErr w:type="gramEnd"/>
            <w:r>
              <w:rPr>
                <w:sz w:val="28"/>
                <w:szCs w:val="28"/>
              </w:rPr>
              <w:t xml:space="preserve">я терапии COVID-19: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silico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vitro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vivo</w:t>
            </w:r>
            <w:proofErr w:type="spellEnd"/>
            <w:r>
              <w:rPr>
                <w:sz w:val="28"/>
                <w:szCs w:val="28"/>
              </w:rPr>
              <w:t xml:space="preserve"> и в клинике, Экспериментальная и клиническая фармакология, 2023, 86(11S), 126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Pr="00952F38" w:rsidRDefault="00952F38">
            <w:pPr>
              <w:jc w:val="both"/>
              <w:rPr>
                <w:sz w:val="28"/>
                <w:szCs w:val="28"/>
                <w:lang w:val="en-US"/>
              </w:rPr>
            </w:pPr>
            <w:r w:rsidRPr="00952F38">
              <w:rPr>
                <w:sz w:val="28"/>
                <w:szCs w:val="28"/>
                <w:lang w:val="en-US"/>
              </w:rPr>
              <w:t>2.</w:t>
            </w:r>
            <w:r w:rsidRPr="00952F38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Taktashov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R.,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Dmitriev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Filimonov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D., Drug-drug interaction prediction and classification using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bayesian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methods in machine learning, </w:t>
            </w:r>
            <w:proofErr w:type="spellStart"/>
            <w:r>
              <w:rPr>
                <w:sz w:val="28"/>
                <w:szCs w:val="28"/>
              </w:rPr>
              <w:t>Конференционный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сборник</w:t>
            </w:r>
            <w:r w:rsidRPr="00952F38">
              <w:rPr>
                <w:sz w:val="28"/>
                <w:szCs w:val="28"/>
                <w:lang w:val="en-US"/>
              </w:rPr>
              <w:t>, 2024, 3991298</w:t>
            </w:r>
          </w:p>
          <w:p w:rsidR="00E846B7" w:rsidRPr="00952F38" w:rsidRDefault="00E846B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846B7" w:rsidRPr="00952F38" w:rsidRDefault="00952F38">
            <w:pPr>
              <w:jc w:val="both"/>
              <w:rPr>
                <w:sz w:val="28"/>
                <w:szCs w:val="28"/>
                <w:lang w:val="en-US"/>
              </w:rPr>
            </w:pPr>
            <w:r w:rsidRPr="00952F38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Taktashov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R.R.,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Dmitriev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Filimonov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D.A., Drug-drug Interaction Mechanism Prediction Using Bayesian Methods in Machine Learning, </w:t>
            </w:r>
            <w:proofErr w:type="spellStart"/>
            <w:r>
              <w:rPr>
                <w:sz w:val="28"/>
                <w:szCs w:val="28"/>
              </w:rPr>
              <w:t>Конференционный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сборник</w:t>
            </w:r>
            <w:r w:rsidRPr="00952F38">
              <w:rPr>
                <w:sz w:val="28"/>
                <w:szCs w:val="28"/>
                <w:lang w:val="en-US"/>
              </w:rPr>
              <w:t>, 2024, 129. DOI: 10.18097/BCADD2024</w:t>
            </w:r>
          </w:p>
          <w:p w:rsidR="00E846B7" w:rsidRPr="00952F38" w:rsidRDefault="00E846B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E846B7" w:rsidRDefault="00952F38">
            <w:pPr>
              <w:jc w:val="both"/>
              <w:rPr>
                <w:sz w:val="28"/>
                <w:szCs w:val="28"/>
              </w:rPr>
            </w:pPr>
            <w:r w:rsidRPr="00952F38">
              <w:rPr>
                <w:sz w:val="28"/>
                <w:szCs w:val="28"/>
                <w:lang w:val="en-US"/>
              </w:rPr>
              <w:t xml:space="preserve">4. Tarasova O.A.,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Biziukova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N.Yu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Taktashov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R.R.,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Karasev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Sobolev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B.N.,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Ionov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N.S., Ivanov S.M.,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Dmitriev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Rudik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Filimonov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952F38">
              <w:rPr>
                <w:sz w:val="28"/>
                <w:szCs w:val="28"/>
                <w:lang w:val="en-US"/>
              </w:rPr>
              <w:t>Poroikov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V.V., Analysis of Chemicals-virus-host Interactions Based on Large-scale Biomedical Text and Data Mining, </w:t>
            </w:r>
            <w:proofErr w:type="spellStart"/>
            <w:r>
              <w:rPr>
                <w:sz w:val="28"/>
                <w:szCs w:val="28"/>
              </w:rPr>
              <w:t>Конференционный</w:t>
            </w:r>
            <w:proofErr w:type="spellEnd"/>
            <w:r w:rsidRPr="00952F3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сборник</w:t>
            </w:r>
            <w:r w:rsidRPr="00952F38">
              <w:rPr>
                <w:sz w:val="28"/>
                <w:szCs w:val="28"/>
                <w:lang w:val="en-US"/>
              </w:rPr>
              <w:t xml:space="preserve">, 2024, 33. </w:t>
            </w:r>
            <w:r>
              <w:rPr>
                <w:sz w:val="28"/>
                <w:szCs w:val="28"/>
              </w:rPr>
              <w:t>DOI: 10.18097/BCA</w:t>
            </w:r>
            <w:r>
              <w:rPr>
                <w:sz w:val="28"/>
                <w:szCs w:val="28"/>
              </w:rPr>
              <w:t>DD2024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Бизюкова</w:t>
            </w:r>
            <w:proofErr w:type="spellEnd"/>
            <w:r>
              <w:rPr>
                <w:sz w:val="28"/>
                <w:szCs w:val="28"/>
              </w:rPr>
              <w:t xml:space="preserve"> Н.Ю., Тарасова О.А., Извлечение всесторонних сведений о спектре биологической активности противовирусных соединений из больших массивов текстов научных публикаций, </w:t>
            </w:r>
            <w:proofErr w:type="spellStart"/>
            <w:r>
              <w:rPr>
                <w:sz w:val="28"/>
                <w:szCs w:val="28"/>
              </w:rPr>
              <w:t>Конференционный</w:t>
            </w:r>
            <w:proofErr w:type="spellEnd"/>
            <w:r>
              <w:rPr>
                <w:sz w:val="28"/>
                <w:szCs w:val="28"/>
              </w:rPr>
              <w:t xml:space="preserve"> сборник, 2024, 81.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Дмитриев А.В., </w:t>
            </w:r>
            <w:proofErr w:type="spellStart"/>
            <w:r>
              <w:rPr>
                <w:sz w:val="28"/>
                <w:szCs w:val="28"/>
              </w:rPr>
              <w:t>Такташов</w:t>
            </w:r>
            <w:proofErr w:type="spellEnd"/>
            <w:r>
              <w:rPr>
                <w:sz w:val="28"/>
                <w:szCs w:val="28"/>
              </w:rPr>
              <w:t xml:space="preserve"> Р.Р., Сух</w:t>
            </w:r>
            <w:r>
              <w:rPr>
                <w:sz w:val="28"/>
                <w:szCs w:val="28"/>
              </w:rPr>
              <w:t xml:space="preserve">ачёв В.С., </w:t>
            </w:r>
            <w:proofErr w:type="spellStart"/>
            <w:r>
              <w:rPr>
                <w:sz w:val="28"/>
                <w:szCs w:val="28"/>
              </w:rPr>
              <w:t>Рудик</w:t>
            </w:r>
            <w:proofErr w:type="spellEnd"/>
            <w:r>
              <w:rPr>
                <w:sz w:val="28"/>
                <w:szCs w:val="28"/>
              </w:rPr>
              <w:t xml:space="preserve"> А.В., Филимонов Д.А., </w:t>
            </w:r>
            <w:proofErr w:type="spellStart"/>
            <w:r>
              <w:rPr>
                <w:sz w:val="28"/>
                <w:szCs w:val="28"/>
              </w:rPr>
              <w:t>Поройков</w:t>
            </w:r>
            <w:proofErr w:type="spellEnd"/>
            <w:r>
              <w:rPr>
                <w:sz w:val="28"/>
                <w:szCs w:val="28"/>
              </w:rPr>
              <w:t xml:space="preserve"> В.В., Компьютерный прогноз </w:t>
            </w:r>
            <w:proofErr w:type="spellStart"/>
            <w:r>
              <w:rPr>
                <w:sz w:val="28"/>
                <w:szCs w:val="28"/>
              </w:rPr>
              <w:t>межлекарственных</w:t>
            </w:r>
            <w:proofErr w:type="spellEnd"/>
            <w:r>
              <w:rPr>
                <w:sz w:val="28"/>
                <w:szCs w:val="28"/>
              </w:rPr>
              <w:t xml:space="preserve"> взаимодействий, </w:t>
            </w:r>
            <w:proofErr w:type="spellStart"/>
            <w:r>
              <w:rPr>
                <w:sz w:val="28"/>
                <w:szCs w:val="28"/>
              </w:rPr>
              <w:t>Конференционный</w:t>
            </w:r>
            <w:proofErr w:type="spellEnd"/>
            <w:r>
              <w:rPr>
                <w:sz w:val="28"/>
                <w:szCs w:val="28"/>
              </w:rPr>
              <w:t xml:space="preserve"> сборник, 2024, 16. DOI: 10.19110/978-5-498-01075-5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Такташов</w:t>
            </w:r>
            <w:proofErr w:type="spellEnd"/>
            <w:r>
              <w:rPr>
                <w:sz w:val="28"/>
                <w:szCs w:val="28"/>
              </w:rPr>
              <w:t xml:space="preserve"> Р.Р., Дмитриев А.В., Филимонов Д.А., Компьютерный прогноз механизмов</w:t>
            </w:r>
            <w:r>
              <w:rPr>
                <w:sz w:val="28"/>
                <w:szCs w:val="28"/>
              </w:rPr>
              <w:t xml:space="preserve"> возникновения </w:t>
            </w:r>
            <w:proofErr w:type="spellStart"/>
            <w:r>
              <w:rPr>
                <w:sz w:val="28"/>
                <w:szCs w:val="28"/>
              </w:rPr>
              <w:t>межлекарственных</w:t>
            </w:r>
            <w:proofErr w:type="spellEnd"/>
            <w:r>
              <w:rPr>
                <w:sz w:val="28"/>
                <w:szCs w:val="28"/>
              </w:rPr>
              <w:t xml:space="preserve"> взаимодействий, </w:t>
            </w:r>
            <w:proofErr w:type="spellStart"/>
            <w:r>
              <w:rPr>
                <w:sz w:val="28"/>
                <w:szCs w:val="28"/>
              </w:rPr>
              <w:t>Конференционный</w:t>
            </w:r>
            <w:proofErr w:type="spellEnd"/>
            <w:r>
              <w:rPr>
                <w:sz w:val="28"/>
                <w:szCs w:val="28"/>
              </w:rPr>
              <w:t xml:space="preserve"> сборник, 2024, 51. DOI: 10.18097/IBMC80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Такташов</w:t>
            </w:r>
            <w:proofErr w:type="spellEnd"/>
            <w:r>
              <w:rPr>
                <w:sz w:val="28"/>
                <w:szCs w:val="28"/>
              </w:rPr>
              <w:t xml:space="preserve"> Р.Р., Дмитриев А.В., Филимонов Д.А., Компьютерный прогноз </w:t>
            </w:r>
            <w:proofErr w:type="spellStart"/>
            <w:r>
              <w:rPr>
                <w:sz w:val="28"/>
                <w:szCs w:val="28"/>
              </w:rPr>
              <w:t>межлекарственных</w:t>
            </w:r>
            <w:proofErr w:type="spellEnd"/>
            <w:r>
              <w:rPr>
                <w:sz w:val="28"/>
                <w:szCs w:val="28"/>
              </w:rPr>
              <w:t xml:space="preserve"> взаимодействий, </w:t>
            </w:r>
            <w:proofErr w:type="spellStart"/>
            <w:r>
              <w:rPr>
                <w:sz w:val="28"/>
                <w:szCs w:val="28"/>
              </w:rPr>
              <w:t>Конференционный</w:t>
            </w:r>
            <w:proofErr w:type="spellEnd"/>
            <w:r>
              <w:rPr>
                <w:sz w:val="28"/>
                <w:szCs w:val="28"/>
              </w:rPr>
              <w:t xml:space="preserve"> сборник, 2024, 25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Тарасова О</w:t>
            </w:r>
            <w:r>
              <w:rPr>
                <w:sz w:val="28"/>
                <w:szCs w:val="28"/>
              </w:rPr>
              <w:t xml:space="preserve">.А., </w:t>
            </w:r>
            <w:proofErr w:type="spellStart"/>
            <w:r>
              <w:rPr>
                <w:sz w:val="28"/>
                <w:szCs w:val="28"/>
              </w:rPr>
              <w:t>Бизюкова</w:t>
            </w:r>
            <w:proofErr w:type="spellEnd"/>
            <w:r>
              <w:rPr>
                <w:sz w:val="28"/>
                <w:szCs w:val="28"/>
              </w:rPr>
              <w:t xml:space="preserve"> Н.Ю., </w:t>
            </w:r>
            <w:proofErr w:type="spellStart"/>
            <w:r>
              <w:rPr>
                <w:sz w:val="28"/>
                <w:szCs w:val="28"/>
              </w:rPr>
              <w:t>Такташов</w:t>
            </w:r>
            <w:proofErr w:type="spellEnd"/>
            <w:r>
              <w:rPr>
                <w:sz w:val="28"/>
                <w:szCs w:val="28"/>
              </w:rPr>
              <w:t xml:space="preserve"> Р.Р., Карасев Д.А., Соболев Б.Н., Ионов Н.С., Иванов С.М., Дмитриев А.В., </w:t>
            </w:r>
            <w:proofErr w:type="spellStart"/>
            <w:r>
              <w:rPr>
                <w:sz w:val="28"/>
                <w:szCs w:val="28"/>
              </w:rPr>
              <w:t>Рудик</w:t>
            </w:r>
            <w:proofErr w:type="spellEnd"/>
            <w:r>
              <w:rPr>
                <w:sz w:val="28"/>
                <w:szCs w:val="28"/>
              </w:rPr>
              <w:t xml:space="preserve"> А.В., Филимонов Д.А., </w:t>
            </w:r>
            <w:proofErr w:type="spellStart"/>
            <w:r>
              <w:rPr>
                <w:sz w:val="28"/>
                <w:szCs w:val="28"/>
              </w:rPr>
              <w:t>Поройков</w:t>
            </w:r>
            <w:proofErr w:type="spellEnd"/>
            <w:r>
              <w:rPr>
                <w:sz w:val="28"/>
                <w:szCs w:val="28"/>
              </w:rPr>
              <w:t xml:space="preserve"> В.В., Автоматический анализ текстов для создания базы знаний о взаимодействии вирусов и организма человека, </w:t>
            </w:r>
            <w:proofErr w:type="spellStart"/>
            <w:r>
              <w:rPr>
                <w:sz w:val="28"/>
                <w:szCs w:val="28"/>
              </w:rPr>
              <w:t>Конферен</w:t>
            </w:r>
            <w:r>
              <w:rPr>
                <w:sz w:val="28"/>
                <w:szCs w:val="28"/>
              </w:rPr>
              <w:t>ционный</w:t>
            </w:r>
            <w:proofErr w:type="spellEnd"/>
            <w:r>
              <w:rPr>
                <w:sz w:val="28"/>
                <w:szCs w:val="28"/>
              </w:rPr>
              <w:t xml:space="preserve"> сборник, 2024, 195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gramStart"/>
            <w:r>
              <w:rPr>
                <w:sz w:val="28"/>
                <w:szCs w:val="28"/>
              </w:rPr>
              <w:t xml:space="preserve">Тарасова О.A., </w:t>
            </w:r>
            <w:proofErr w:type="spellStart"/>
            <w:r>
              <w:rPr>
                <w:sz w:val="28"/>
                <w:szCs w:val="28"/>
              </w:rPr>
              <w:t>Бизюкова</w:t>
            </w:r>
            <w:proofErr w:type="spellEnd"/>
            <w:r>
              <w:rPr>
                <w:sz w:val="28"/>
                <w:szCs w:val="28"/>
              </w:rPr>
              <w:t xml:space="preserve"> Н.Ю., Столбова Е.А., Столбов Л.А., </w:t>
            </w:r>
            <w:proofErr w:type="spellStart"/>
            <w:r>
              <w:rPr>
                <w:sz w:val="28"/>
                <w:szCs w:val="28"/>
              </w:rPr>
              <w:t>Такташов</w:t>
            </w:r>
            <w:proofErr w:type="spellEnd"/>
            <w:r>
              <w:rPr>
                <w:sz w:val="28"/>
                <w:szCs w:val="28"/>
              </w:rPr>
              <w:t xml:space="preserve"> Р.Р., Карасев Д.А., Ионов Н.С., Иванов С.М., Дмитриев А.В., </w:t>
            </w:r>
            <w:proofErr w:type="spellStart"/>
            <w:r>
              <w:rPr>
                <w:sz w:val="28"/>
                <w:szCs w:val="28"/>
              </w:rPr>
              <w:t>Рудик</w:t>
            </w:r>
            <w:proofErr w:type="spellEnd"/>
            <w:r>
              <w:rPr>
                <w:sz w:val="28"/>
                <w:szCs w:val="28"/>
              </w:rPr>
              <w:t xml:space="preserve"> А.В., </w:t>
            </w:r>
            <w:proofErr w:type="spellStart"/>
            <w:r>
              <w:rPr>
                <w:sz w:val="28"/>
                <w:szCs w:val="28"/>
              </w:rPr>
              <w:t>Дружиловский</w:t>
            </w:r>
            <w:proofErr w:type="spellEnd"/>
            <w:r>
              <w:rPr>
                <w:sz w:val="28"/>
                <w:szCs w:val="28"/>
              </w:rPr>
              <w:t xml:space="preserve"> Д.С., Соболев Б.Н., Филимонов Д.А., </w:t>
            </w:r>
            <w:proofErr w:type="spellStart"/>
            <w:r>
              <w:rPr>
                <w:sz w:val="28"/>
                <w:szCs w:val="28"/>
              </w:rPr>
              <w:t>Поройков</w:t>
            </w:r>
            <w:proofErr w:type="spellEnd"/>
            <w:r>
              <w:rPr>
                <w:sz w:val="28"/>
                <w:szCs w:val="28"/>
              </w:rPr>
              <w:t xml:space="preserve"> В.В., Извлечение информаци</w:t>
            </w:r>
            <w:r>
              <w:rPr>
                <w:sz w:val="28"/>
                <w:szCs w:val="28"/>
              </w:rPr>
              <w:t>и о взаимодействии вирусов с организмом человека и о противовирусных соединениях на основе интеллектуального анализа больших коллекций</w:t>
            </w:r>
            <w:proofErr w:type="gramEnd"/>
            <w:r>
              <w:rPr>
                <w:sz w:val="28"/>
                <w:szCs w:val="28"/>
              </w:rPr>
              <w:t xml:space="preserve"> текстов, Биомедицинская химия, 2024, 70(6), 469-474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</w:tc>
      </w:tr>
      <w:tr w:rsidR="00E846B7">
        <w:trPr>
          <w:trHeight w:val="5094"/>
        </w:trPr>
        <w:tc>
          <w:tcPr>
            <w:tcW w:w="2383" w:type="dxa"/>
          </w:tcPr>
          <w:p w:rsidR="00E846B7" w:rsidRDefault="00952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конференциях</w:t>
            </w:r>
          </w:p>
        </w:tc>
        <w:tc>
          <w:tcPr>
            <w:tcW w:w="6962" w:type="dxa"/>
            <w:gridSpan w:val="10"/>
          </w:tcPr>
          <w:p w:rsidR="00E846B7" w:rsidRDefault="00E8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Конференция Американского химического общества «ACS </w:t>
            </w:r>
            <w:proofErr w:type="spellStart"/>
            <w:r>
              <w:rPr>
                <w:sz w:val="28"/>
                <w:szCs w:val="28"/>
              </w:rPr>
              <w:t>Spring</w:t>
            </w:r>
            <w:proofErr w:type="spellEnd"/>
            <w:r>
              <w:rPr>
                <w:sz w:val="28"/>
                <w:szCs w:val="28"/>
              </w:rPr>
              <w:t xml:space="preserve"> 2024» Место проведения США, г. Новый Орлеан Название доклада </w:t>
            </w:r>
            <w:proofErr w:type="spellStart"/>
            <w:r>
              <w:rPr>
                <w:sz w:val="28"/>
                <w:szCs w:val="28"/>
              </w:rPr>
              <w:t>Drug-drug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interaction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prediction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classification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bayesian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methods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machine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learning</w:t>
            </w:r>
            <w:proofErr w:type="spellEnd"/>
            <w:r>
              <w:rPr>
                <w:sz w:val="28"/>
                <w:szCs w:val="28"/>
              </w:rPr>
              <w:t xml:space="preserve"> Дата начала мероприятия 17.03.2024 Дата о</w:t>
            </w:r>
            <w:r>
              <w:rPr>
                <w:sz w:val="28"/>
                <w:szCs w:val="28"/>
              </w:rPr>
              <w:t>кончания мероприятия 21.03.2024 Ссылка PDF: https://scimeetings.acs.org/exhibit/Drug-drug-interaction-prediction-classification/3991298</w:t>
            </w:r>
          </w:p>
          <w:p w:rsidR="00E846B7" w:rsidRDefault="00952F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 Симпозиум "</w:t>
            </w:r>
            <w:proofErr w:type="spellStart"/>
            <w:r>
              <w:rPr>
                <w:sz w:val="28"/>
                <w:szCs w:val="28"/>
              </w:rPr>
              <w:t>Биоинформатика</w:t>
            </w:r>
            <w:proofErr w:type="spellEnd"/>
            <w:r>
              <w:rPr>
                <w:sz w:val="28"/>
                <w:szCs w:val="28"/>
              </w:rPr>
              <w:t xml:space="preserve"> и компьютерное конструирование лекарств" Место проведения г. Москва, Россия Название докла</w:t>
            </w: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Drug-drug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Interaction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Mechanism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Prediction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Bayesian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Methods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Machine</w:t>
            </w:r>
            <w:proofErr w:type="spellEnd"/>
            <w:r>
              <w:rPr>
                <w:sz w:val="28"/>
                <w:szCs w:val="28"/>
              </w:rPr>
              <w:t xml:space="preserve"> Learning Дата начала мероприятия 16.09.2024 Дата окончания мероприятия 18.09.2024 Ссылка PDF: </w:t>
            </w:r>
            <w:hyperlink r:id="rId7">
              <w:r>
                <w:rPr>
                  <w:color w:val="1155CC"/>
                  <w:sz w:val="28"/>
                  <w:szCs w:val="28"/>
                  <w:u w:val="single"/>
                </w:rPr>
                <w:t>https://www.way2drug.com/dr/bcadd2024/content/BCADD2024-proceedings-book.pdf</w:t>
              </w:r>
            </w:hyperlink>
          </w:p>
          <w:p w:rsidR="00E846B7" w:rsidRDefault="00952F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конференция с международным участием «Биомедицинская химия: наука и практика» Место проведения г. Москва, Россия Название доклада Компьютерный прогноз </w:t>
            </w:r>
            <w:r>
              <w:rPr>
                <w:sz w:val="28"/>
                <w:szCs w:val="28"/>
              </w:rPr>
              <w:t xml:space="preserve">механизмов возникновения </w:t>
            </w:r>
            <w:proofErr w:type="spellStart"/>
            <w:r>
              <w:rPr>
                <w:sz w:val="28"/>
                <w:szCs w:val="28"/>
              </w:rPr>
              <w:t>межлекарственных</w:t>
            </w:r>
            <w:proofErr w:type="spellEnd"/>
            <w:r>
              <w:rPr>
                <w:sz w:val="28"/>
                <w:szCs w:val="28"/>
              </w:rPr>
              <w:t xml:space="preserve"> взаимодействий Дата начала мероприятия 03.10.2024 Дата окончания мероприятия 04.10.2024 Ссылка PDF: https://www.ibmc.msk.ru/external/IBMC80-2024-</w:t>
            </w:r>
            <w:r>
              <w:rPr>
                <w:sz w:val="28"/>
                <w:szCs w:val="28"/>
              </w:rPr>
              <w:lastRenderedPageBreak/>
              <w:t>ConferenceBook.pdf</w:t>
            </w:r>
          </w:p>
          <w:p w:rsidR="00E846B7" w:rsidRDefault="00E846B7">
            <w:pPr>
              <w:jc w:val="both"/>
              <w:rPr>
                <w:sz w:val="28"/>
                <w:szCs w:val="28"/>
              </w:rPr>
            </w:pPr>
          </w:p>
          <w:p w:rsidR="00E846B7" w:rsidRDefault="00952F3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ежегодная школа молодых исследователей по ген</w:t>
            </w:r>
            <w:r>
              <w:rPr>
                <w:sz w:val="28"/>
                <w:szCs w:val="28"/>
              </w:rPr>
              <w:t xml:space="preserve">етическим технологиям Место проведения г. Тюмень, Россия Название доклада Компьютерный прогноз </w:t>
            </w:r>
            <w:proofErr w:type="spellStart"/>
            <w:r>
              <w:rPr>
                <w:sz w:val="28"/>
                <w:szCs w:val="28"/>
              </w:rPr>
              <w:t>межлекарственных</w:t>
            </w:r>
            <w:proofErr w:type="spellEnd"/>
            <w:r>
              <w:rPr>
                <w:sz w:val="28"/>
                <w:szCs w:val="28"/>
              </w:rPr>
              <w:t xml:space="preserve"> взаимодействий Дата начала мероприятия 28.10.2024 Дата окончания мероприятия 30.10.2024 Ссылка PDF: https://www.elibrary.ru/download/elibrary_75</w:t>
            </w:r>
            <w:r>
              <w:rPr>
                <w:sz w:val="28"/>
                <w:szCs w:val="28"/>
              </w:rPr>
              <w:t>042355_38926675.pdf</w:t>
            </w:r>
          </w:p>
        </w:tc>
      </w:tr>
    </w:tbl>
    <w:p w:rsidR="00E846B7" w:rsidRDefault="00E846B7"/>
    <w:p w:rsidR="00E846B7" w:rsidRDefault="00E846B7"/>
    <w:p w:rsidR="00E846B7" w:rsidRDefault="00E846B7"/>
    <w:p w:rsidR="00E846B7" w:rsidRDefault="00E846B7"/>
    <w:sectPr w:rsidR="00E846B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9D5"/>
    <w:multiLevelType w:val="multilevel"/>
    <w:tmpl w:val="3A449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46B7"/>
    <w:rsid w:val="00952F38"/>
    <w:rsid w:val="00E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2F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2F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ay2drug.com/dr/bcadd2024/content/BCADD2024-proceedings-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A. Tarasova</cp:lastModifiedBy>
  <cp:revision>3</cp:revision>
  <dcterms:created xsi:type="dcterms:W3CDTF">2025-02-11T09:29:00Z</dcterms:created>
  <dcterms:modified xsi:type="dcterms:W3CDTF">2025-02-11T09:29:00Z</dcterms:modified>
</cp:coreProperties>
</file>